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AFC3" w14:textId="77777777" w:rsidR="00F179D1" w:rsidRPr="00F179D1" w:rsidRDefault="00F179D1" w:rsidP="00F179D1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bookmarkStart w:id="0" w:name="_Hlk97878504"/>
      <w:bookmarkStart w:id="1" w:name="_Hlk97878882"/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Anexa 1</w:t>
      </w:r>
    </w:p>
    <w:bookmarkEnd w:id="0"/>
    <w:p w14:paraId="194A823E" w14:textId="2E5E7452" w:rsidR="00F179D1" w:rsidRPr="00F179D1" w:rsidRDefault="00F179D1" w:rsidP="00F179D1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>Dinamica principalilor indicatori raportați de Banca de Economii S.A.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AE73C8" w14:paraId="064327A4" w14:textId="77777777" w:rsidTr="009B7D4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bookmarkEnd w:id="1"/>
          <w:p w14:paraId="27ADD097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7FF14" w14:textId="47C81607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19461" w14:textId="7311DABA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7563F95" w14:textId="60964BAE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2D1F1A5" w14:textId="00E24B86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B3041D3" w14:textId="04780A15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55A114B" w14:textId="0C27762A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B565BB1" w14:textId="60ECE083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B084913" w14:textId="7A6DE573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7E84B72" w14:textId="6508535A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5A343AE" w14:textId="77377CB0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8604C" w14:textId="77777777" w:rsidR="00706918" w:rsidRPr="00706918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706918" w:rsidRPr="00AE73C8" w14:paraId="4FCFDCB6" w14:textId="77777777" w:rsidTr="0019349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84EF" w14:textId="5FF9CEC4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CB42C" w14:textId="754209A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AC50" w14:textId="0179389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58F8" w14:textId="227DBD1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0F1E" w14:textId="4CCB33C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B076" w14:textId="2A8F4A2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9269" w14:textId="561B9F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7D37" w14:textId="7CC3686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943A" w14:textId="6F888B3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4878" w14:textId="64516A2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DD70" w14:textId="2262951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438" w14:textId="598AED7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706918" w:rsidRPr="00AE73C8" w14:paraId="14B4A332" w14:textId="77777777" w:rsidTr="0019349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202F" w14:textId="3E3CD04C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6A4C2" w14:textId="3AFF5AC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7FB6" w14:textId="714AEEB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622" w14:textId="62B5D66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A7E" w14:textId="74EFE08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434D" w14:textId="3186499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C0CF" w14:textId="07C284C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84E3" w14:textId="4C6C3BA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E171" w14:textId="6F39577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71F6" w14:textId="05DCB23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AFE6" w14:textId="7EACCC5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9F9" w14:textId="41EA15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706918" w:rsidRPr="00AE73C8" w14:paraId="67E1F856" w14:textId="77777777" w:rsidTr="0019349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718E" w14:textId="33EDA0C1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23DDD" w14:textId="46288EA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02B4" w14:textId="1CF4B31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8ECE" w14:textId="72877C2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3F63" w14:textId="52B3D01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AEE7" w14:textId="57430B6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AA02" w14:textId="42192A5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39E" w14:textId="5A7AF14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85AA" w14:textId="3985F85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863F" w14:textId="639433F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27A2" w14:textId="479B2E5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85B" w14:textId="03A62A4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706918" w:rsidRPr="00AE73C8" w14:paraId="1A534E7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00E" w14:textId="5302F7EA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29BF" w14:textId="274E0A7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4401" w14:textId="77F3390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9602" w14:textId="48E0F48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94AE" w14:textId="7910BCA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BBC4" w14:textId="1222FB1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1EE8" w14:textId="6307445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4F72" w14:textId="28D5DD8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A5D9" w14:textId="2F9F692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6315" w14:textId="11925F2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C9A9" w14:textId="37592E6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89A" w14:textId="7B213ED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1AB8BD25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2C5" w14:textId="7997E396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97E0" w14:textId="73566AC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61F0" w14:textId="554B3F1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0DE1" w14:textId="42BF42D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347A" w14:textId="3E753AB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E797" w14:textId="325AE9F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5955" w14:textId="64CF180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E4AD" w14:textId="77DA8AB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8FAC" w14:textId="16080F6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969F" w14:textId="4E42DCF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2322" w14:textId="7624030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33C" w14:textId="28FADEC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706918" w:rsidRPr="00AE73C8" w14:paraId="50B798F2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B2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CCBB" w14:textId="5E9574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E226" w14:textId="26A3DCB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98D5" w14:textId="775766D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F2BB" w14:textId="6F114AC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B120" w14:textId="056F8EB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CD26" w14:textId="23C1C54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114E" w14:textId="5BBA691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C9C2" w14:textId="195DB26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EAF3" w14:textId="3A92E61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D18" w14:textId="3092398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9C5" w14:textId="62F574D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706918" w:rsidRPr="00AE73C8" w14:paraId="1D377714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677" w14:textId="33AFC7FC" w:rsidR="00706918" w:rsidRPr="00706918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A1F3" w14:textId="13AFE6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9C07" w14:textId="5E2930D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8D95" w14:textId="6D44224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938C" w14:textId="69E45DD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5CF7" w14:textId="78F06C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5A46" w14:textId="3A6E06F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3B05" w14:textId="2A0EF0D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17F0" w14:textId="1A3AA5F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4C51" w14:textId="56FE25E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279" w14:textId="6F0231E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9053" w14:textId="4E5F8D8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706918" w:rsidRPr="00AE73C8" w14:paraId="158E8092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336" w14:textId="3768346B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141" w14:textId="4241D40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2785" w14:textId="726FA0F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EB5E" w14:textId="3F7E82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24A7" w14:textId="734E911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FAA6" w14:textId="2822188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A65E" w14:textId="3F14750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4BEC" w14:textId="0EDA299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8C88" w14:textId="627976F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F12E" w14:textId="68D5D30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5F42" w14:textId="6E0D593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009" w14:textId="3825E51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706918" w:rsidRPr="00AE73C8" w14:paraId="47218BF5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1677" w14:textId="67580943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9A43" w14:textId="1125144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23 473,6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DDAD" w14:textId="5688051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E773" w14:textId="3B37412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0A0F" w14:textId="51CA74A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BA3E" w14:textId="5EEA8A4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995F" w14:textId="66C6BA0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7181" w14:textId="70DC67C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5135" w14:textId="52861C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3518" w14:textId="7DEFFC8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C790" w14:textId="7AB8FD3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417" w14:textId="529670E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706918" w:rsidRPr="00AE73C8" w14:paraId="1FE44C0E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B88" w14:textId="313F6024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EF8" w14:textId="25D7568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FC8F" w14:textId="511FB61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EA32" w14:textId="48994E8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789" w14:textId="3C67218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586" w14:textId="5B7F367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AEF5" w14:textId="3A59C3C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A85A" w14:textId="20B7B05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32C7" w14:textId="41F58CD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CAF7" w14:textId="04280E2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5B4B" w14:textId="0FB310E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5DC" w14:textId="29D75A0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706918" w:rsidRPr="00AE73C8" w14:paraId="56035F71" w14:textId="77777777" w:rsidTr="007D43B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47A" w14:textId="237A98A9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F396B" w14:textId="639B827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BA8E" w14:textId="5FE923A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96A7" w14:textId="0E0A041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5FED" w14:textId="314B4C8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1070" w14:textId="30C2D7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96F1" w14:textId="3DD2B6F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77F0" w14:textId="57C1538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0A9A" w14:textId="2EAD63C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9CAD" w14:textId="4CDA13C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4D85" w14:textId="65347EA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BC1" w14:textId="49E5E16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706918" w:rsidRPr="00AE73C8" w14:paraId="39813176" w14:textId="77777777" w:rsidTr="007D43B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5435" w14:textId="76B89D61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84D25" w14:textId="29EB6E3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60C0" w14:textId="47F0DC0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9D8F" w14:textId="7E359F0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61CC" w14:textId="6A23C3D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A9B3" w14:textId="791DBEC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02A9" w14:textId="052D2C7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BD93" w14:textId="3110A0D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825F" w14:textId="65F6FB0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BC7" w14:textId="4F08E16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6F1D" w14:textId="22BB3C0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5964" w14:textId="3F1F8DA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706918" w:rsidRPr="00AE73C8" w14:paraId="4528645B" w14:textId="77777777" w:rsidTr="007D43B7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576E" w14:textId="50D0D643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DEF74" w14:textId="03FAA0B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FC7A" w14:textId="40F3C9C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84CD" w14:textId="6391579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73F3" w14:textId="59DB57A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3C6B" w14:textId="4EBED39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BA8D" w14:textId="09C963D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795B" w14:textId="0E06EF5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727F" w14:textId="3B19A39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5531" w14:textId="61A5CBC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17BB" w14:textId="30871E5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675" w14:textId="5CEF76E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706918" w:rsidRPr="00AE73C8" w14:paraId="458531CC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EC655" w14:textId="77777777" w:rsidR="00706918" w:rsidRPr="003B6870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2B8B77" w14:textId="4AA36D9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141 207,0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920CE0" w14:textId="7AAFCAA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04D381" w14:textId="44FDC36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32C585" w14:textId="563F224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D047FF" w14:textId="4F14184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66E2D2" w14:textId="50F32A2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185C52" w14:textId="1BA4673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A7AF3" w14:textId="0D18956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6B88DC" w14:textId="032863E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6E0577" w14:textId="3F8CE2A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D459C8" w14:textId="7B967FC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706918" w:rsidRPr="00F179D1" w14:paraId="1FD1E9BC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11" w14:textId="4478B7E0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7D" w14:textId="0077A6EA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1E7" w14:textId="3FF1448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7BB8" w14:textId="25DFB21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24FA" w14:textId="11BEC55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4A36" w14:textId="5EA45C1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C6B7" w14:textId="626CAF0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658D" w14:textId="7E8351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8A7E" w14:textId="0EDB3B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ED6C" w14:textId="0B76272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266B" w14:textId="4EC83E6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BD14" w14:textId="730E192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273" w14:textId="5688A49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706918" w:rsidRPr="00F179D1" w14:paraId="7CC37AC1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09C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D2B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550F" w14:textId="7EE8E2E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382" w14:textId="4755DF6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4AA6" w14:textId="44678B3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9387" w14:textId="53559EC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77FC" w14:textId="16B9A05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E580" w14:textId="6A493E9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2928" w14:textId="16F1F80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AC37" w14:textId="5BC5C71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74CC" w14:textId="4D748CC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A681" w14:textId="0B4AC2E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806" w14:textId="51788C7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706918" w:rsidRPr="00AE73C8" w14:paraId="7260B4FB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060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D1D339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8A137C2" w14:textId="4E2412B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BF4D" w14:textId="58EF383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8BE529" w14:textId="6C4D981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E316DC" w14:textId="77D05D9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F0BBE8" w14:textId="0FA3E67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657FC9" w14:textId="1DCC3C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406F3" w14:textId="3F3A680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EB9CAD" w14:textId="3EB5806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E67130" w14:textId="540AC6A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911E32" w14:textId="3C74D8F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404340" w14:textId="0CADD4B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706918" w:rsidRPr="00F179D1" w14:paraId="6EB671DA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D02" w14:textId="6632F44C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7E3" w14:textId="094B0CA5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1837" w14:textId="69B3D7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E459" w14:textId="334C8E2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1987" w14:textId="1AF5E52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18CC" w14:textId="6665D0F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3242" w14:textId="6B0EFAA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FA40" w14:textId="38B2F83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2EC8" w14:textId="44E83EB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9E14" w14:textId="1CBA3D2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1CA3" w14:textId="2FC80E9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BF8" w14:textId="28E50E3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25D" w14:textId="7CFAD15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706918" w:rsidRPr="00F179D1" w14:paraId="7279F6E1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B300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C1D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BAB5" w14:textId="765E95B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60E3" w14:textId="25A2697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A19B" w14:textId="62B5E2B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998A" w14:textId="76C7351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21FE" w14:textId="534C661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E576" w14:textId="34F50C6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D80D" w14:textId="37EA48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520C" w14:textId="31DBEDA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82C7" w14:textId="5D37DC1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0621" w14:textId="4303CE8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E0CE" w14:textId="3AF6B18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46DDDD29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10D8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F01917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8FF7368" w14:textId="0415E46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B0D6A" w14:textId="56E856C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3E4A90" w14:textId="2A56DB5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BF52D9" w14:textId="6128EBB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DA3530" w14:textId="79E7F99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372AB6" w14:textId="535FDAF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76E4B68" w14:textId="1F603B5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4FA398" w14:textId="49D0DA2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F26F" w14:textId="6C4F20A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B85BAD" w14:textId="32A48FD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A1BD09" w14:textId="4430934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706918" w:rsidRPr="00F179D1" w14:paraId="24024310" w14:textId="77777777" w:rsidTr="00706918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397F" w14:textId="7980AC80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</w:t>
            </w:r>
            <w:r w:rsidRPr="00AE73C8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A18B" w14:textId="1F30BACF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441" w14:textId="6E30126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FBBF" w14:textId="453E388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AB14" w14:textId="7F0B87D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C5D5" w14:textId="7867BD3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2C42" w14:textId="3ED2CD1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BC70" w14:textId="381374D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F412" w14:textId="5D75B1B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3925" w14:textId="072EDAD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1BC8" w14:textId="2B8E80D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8B3E" w14:textId="14F2637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D39" w14:textId="101D8BE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706918" w:rsidRPr="00F179D1" w14:paraId="5A7DDE74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EDD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3CB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1C5D" w14:textId="31DDD8F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FC6" w14:textId="26DA542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FFAA" w14:textId="20DC1C4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E358" w14:textId="37350EF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5E7F" w14:textId="098C887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D21A" w14:textId="6F5B98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107A" w14:textId="27FF794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092A" w14:textId="0EDB905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58DE" w14:textId="183D891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F080" w14:textId="0BC0FA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CA8" w14:textId="407D63A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706918" w:rsidRPr="00AE73C8" w14:paraId="4E566D47" w14:textId="77777777" w:rsidTr="00706918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58A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976A1B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CE3F6A" w14:textId="054DE46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63826C" w14:textId="1840649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E8F5CEC" w14:textId="795FC38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ECB4F4" w14:textId="69DD079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E6F212" w14:textId="5F799EF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9E17913" w14:textId="57D586B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EEB442" w14:textId="359EBBE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86001A" w14:textId="259C66F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BE9ACC" w14:textId="7C25D7F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45442C" w14:textId="52DBAD5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553170" w14:textId="098536A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706918" w:rsidRPr="00AE73C8" w14:paraId="5730C8F0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B2398" w14:textId="77777777" w:rsidR="00706918" w:rsidRPr="003B6870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816027" w14:textId="786A8CB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527B27" w14:textId="2AA6463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14B6FD7" w14:textId="47E17DA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0E81CA" w14:textId="309F6F2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9617CC" w14:textId="6F77F71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1BB8DE" w14:textId="684E477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8FC243" w14:textId="1E1805C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A1C6538" w14:textId="1AA29EE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E64103A" w14:textId="6BB7B8B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CF56B6" w14:textId="0235734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3E758F" w14:textId="1B4DEA9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706918" w:rsidRPr="00F179D1" w14:paraId="00B58448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ECD" w14:textId="77777777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2941" w14:textId="579388B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97F4" w14:textId="51F090E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307F" w14:textId="14F2BB4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7591" w14:textId="3F07DE8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1836" w14:textId="2BF08FF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B5F8" w14:textId="46CF2BE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C9BA" w14:textId="14D31EF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CE38" w14:textId="0257EDD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1887" w14:textId="024BC0C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D93F" w14:textId="2F2F2ED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670" w14:textId="1E74907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706918" w:rsidRPr="00F179D1" w14:paraId="5A6F5293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D78" w14:textId="2B7B6444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5116" w14:textId="4024E6D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C543" w14:textId="62B77D4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5005" w14:textId="344EAE3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7788" w14:textId="497F4E0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A3A" w14:textId="33E028C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10ED" w14:textId="3989E8E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343C" w14:textId="7AB9F5F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A275" w14:textId="4B1DAF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5958" w14:textId="4CEBC9B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BBD" w14:textId="0CA5519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B967" w14:textId="5B8FEF7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706918" w:rsidRPr="00F179D1" w14:paraId="1A959B2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70B" w14:textId="32C5295E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4271" w14:textId="3D37A98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9CD3" w14:textId="1B6E94A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3833" w14:textId="7C4A906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DC70" w14:textId="5391C9C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7B59" w14:textId="1AF6D0E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C3D3" w14:textId="09B9003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3BDC" w14:textId="19491C3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4855" w14:textId="24CC173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9D74" w14:textId="44A44DE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23F0" w14:textId="6E4DB9C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BE3" w14:textId="72448F8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706918" w:rsidRPr="00F179D1" w14:paraId="7083209E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314" w14:textId="37C2445B" w:rsidR="00706918" w:rsidRPr="00F179D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9AE4" w14:textId="36DE360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1 202 804,7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E3C9" w14:textId="05CC9AA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1 198 872,3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7061" w14:textId="155654F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3BB0" w14:textId="2C0615B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B1EB" w14:textId="007CF29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5C30" w14:textId="5473592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2C9" w14:textId="6830264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3839" w14:textId="1A385EF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CD2E" w14:textId="7F9ED00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474A" w14:textId="0AA0DC7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2BD" w14:textId="78BE2AE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706918" w:rsidRPr="00AE73C8" w14:paraId="4BF8161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74F6F" w14:textId="77777777" w:rsidR="00706918" w:rsidRPr="003B6870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FF4B7C" w14:textId="5836956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10 564 792,4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FFBF1E" w14:textId="410D5D0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10 560 860,0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3D178" w14:textId="38B7285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97ADD5" w14:textId="6592838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F47190" w14:textId="40CD365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B56919" w14:textId="1BAADFC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8DAF02" w14:textId="0557C1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F7FD225" w14:textId="129E1DB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AD96EF" w14:textId="56E7421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83F8DB" w14:textId="00E0085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EEE5F1" w14:textId="51C816F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2171AD48" w14:textId="77777777" w:rsidR="00F179D1" w:rsidRPr="00F179D1" w:rsidRDefault="00F179D1" w:rsidP="00F179D1">
      <w:pPr>
        <w:spacing w:after="0" w:line="240" w:lineRule="auto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129D70B" w14:textId="4349F436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072A9DDA" w14:textId="08F66CB2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73F045D" w14:textId="11DB05D9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A7C0809" w14:textId="77777777" w:rsidR="008727C4" w:rsidRPr="00F179D1" w:rsidRDefault="008727C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632DBCB7" w14:textId="42CD07B0" w:rsidR="000F00F8" w:rsidRPr="00F179D1" w:rsidRDefault="000F00F8" w:rsidP="000F00F8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2</w:t>
      </w:r>
    </w:p>
    <w:p w14:paraId="6CADB1A3" w14:textId="36858E22" w:rsidR="000F00F8" w:rsidRPr="00F179D1" w:rsidRDefault="000F00F8" w:rsidP="000F00F8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Pr="000F00F8">
        <w:rPr>
          <w:rFonts w:ascii="PermianSerifTypeface" w:hAnsi="PermianSerifTypeface"/>
          <w:b/>
          <w:noProof/>
          <w:sz w:val="24"/>
          <w:szCs w:val="24"/>
          <w:lang w:val="ro-MD"/>
        </w:rPr>
        <w:t>BC „BANCA SOCIALĂ”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AE73C8" w14:paraId="59CA2901" w14:textId="77777777" w:rsidTr="00C61DCA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4AF67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349DF8E" w14:textId="7AB523F6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4121BF5" w14:textId="123184E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5C769E3" w14:textId="10C4B1E5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E35E1CF" w14:textId="64E94A1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24B2D2" w14:textId="64CC8BD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EECD611" w14:textId="161E242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DD115B" w14:textId="1D5EC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EFBF55" w14:textId="5816D009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58BC93E" w14:textId="7E37BEC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EB40D30" w14:textId="3B9E2258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AD715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706918" w:rsidRPr="00AE73C8" w14:paraId="3723E54B" w14:textId="77777777" w:rsidTr="0053365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640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50BC1" w14:textId="1D1907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12C" w14:textId="6440239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875" w14:textId="0BA23D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151" w14:textId="6A0B57C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ED7" w14:textId="5034711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2C7C" w14:textId="06E492B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7B98" w14:textId="09DC87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5B4B" w14:textId="6C5025A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DB8" w14:textId="59C1D9F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8741" w14:textId="7CD32E6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8250" w14:textId="0584F19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706918" w:rsidRPr="00AE73C8" w14:paraId="1C3B0200" w14:textId="77777777" w:rsidTr="0053365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DB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4B7E2" w14:textId="4CA7C0D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2A8C" w14:textId="5A9DE48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27B6" w14:textId="7654E28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2558" w14:textId="3182A2C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B98" w14:textId="7BAB17A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A320" w14:textId="6DB896A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D499" w14:textId="5D7844B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C07B" w14:textId="69F19F7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2CB" w14:textId="757F506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CA2" w14:textId="303D484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D71B" w14:textId="71F02AE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706918" w:rsidRPr="00AE73C8" w14:paraId="65FE1570" w14:textId="77777777" w:rsidTr="0053365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FA7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00F3F" w14:textId="3A0AAE2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27F" w14:textId="46C8BAC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C4DD" w14:textId="1DB25A9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2B01" w14:textId="5E4ABEE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7B3D" w14:textId="74899E0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DA5" w14:textId="5E800F5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C31" w14:textId="71D866A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0E97" w14:textId="15E7C2E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5F77" w14:textId="772DF46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5A4D" w14:textId="390632B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AE9" w14:textId="0AEAB7F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706918" w:rsidRPr="00AE73C8" w14:paraId="10C57007" w14:textId="77777777" w:rsidTr="0053365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DC1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E8D74" w14:textId="3DD476E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AE5" w14:textId="1AE2C01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A8A4" w14:textId="07EFADA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263" w14:textId="10E50F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C64" w14:textId="3E7F081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ACA8" w14:textId="2A6728B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B30" w14:textId="5290ADD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855" w14:textId="136A235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DAD3" w14:textId="69DB963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878" w14:textId="281E268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4D54" w14:textId="14B2669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129C1A7A" w14:textId="77777777" w:rsidTr="0053365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E39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4497" w14:textId="27B9CB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446D" w14:textId="1DADF92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DA71" w14:textId="363AFB9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20E1" w14:textId="0FD2CE3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2D16" w14:textId="253CC45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432" w14:textId="2745A46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ECA4" w14:textId="35C02ED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0767" w14:textId="28D12BB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BA41" w14:textId="7B870E3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4685" w14:textId="0739C5D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6B5" w14:textId="5F12D7C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706918" w:rsidRPr="00AE73C8" w14:paraId="1D42AC17" w14:textId="77777777" w:rsidTr="0053365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34E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9F7AA" w14:textId="4E67FC8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14AB" w14:textId="0650D4E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AC8" w14:textId="6604DC1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7926" w14:textId="637D2CD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6D02" w14:textId="542DE19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ED80" w14:textId="7F341B2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012" w14:textId="0D024A9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1B3" w14:textId="2BF5195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DBA" w14:textId="74DAE4B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C045" w14:textId="0C84475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FE4" w14:textId="5FDD807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706918" w:rsidRPr="00AE73C8" w14:paraId="6E1752FB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B52A" w14:textId="77777777" w:rsidR="00706918" w:rsidRPr="003F642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D8AF" w14:textId="615945B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14 264 463,2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5E6" w14:textId="38D4724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14 482 227,2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A113" w14:textId="493187E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2DF1" w14:textId="0C378EE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0CC" w14:textId="4A71C93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61D4" w14:textId="0A40737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D543" w14:textId="659B1A3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D9D" w14:textId="0A4A66D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7471" w14:textId="6358D17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0D09" w14:textId="6168063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E104" w14:textId="26FB92B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706918" w:rsidRPr="00AE73C8" w14:paraId="59185CDE" w14:textId="77777777" w:rsidTr="003C1BF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331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519F4" w14:textId="6EC332D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8699" w14:textId="51831BA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711" w14:textId="2DC9C27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BF10" w14:textId="3037454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444" w14:textId="53695EA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CB2C" w14:textId="0C62014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21FD" w14:textId="26D86A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B9EF" w14:textId="576912F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C331" w14:textId="750A82C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FF94" w14:textId="2F48B4D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7CE5" w14:textId="7CFB5A5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706918" w:rsidRPr="00AE73C8" w14:paraId="031BDBB0" w14:textId="77777777" w:rsidTr="003C1BF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9E45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78CF0" w14:textId="134F335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C527" w14:textId="60724FA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4D92" w14:textId="1C667D7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C329" w14:textId="22E899E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F607" w14:textId="5065BC1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473A" w14:textId="69ED918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705D" w14:textId="59F4B35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4FAA" w14:textId="1B9125D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0939" w14:textId="2A66628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8BA" w14:textId="34DECDA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2A2D" w14:textId="56EDBEE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706918" w:rsidRPr="00AE73C8" w14:paraId="71A16A09" w14:textId="77777777" w:rsidTr="003C1BF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285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89261" w14:textId="6285509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45998" w14:textId="2F72B76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0B90" w14:textId="5EF1F95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6A28" w14:textId="03F7C7D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4803" w14:textId="53BB3EC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7FDF" w14:textId="51643BC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4D40" w14:textId="0D56E35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75C7" w14:textId="595C5F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31DB" w14:textId="47C7306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5AE1" w14:textId="3F99710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25AE" w14:textId="1A658BE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706918" w:rsidRPr="00AE73C8" w14:paraId="16194A14" w14:textId="77777777" w:rsidTr="003C1BF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D5B4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2CBE" w14:textId="7C930D6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A0A" w14:textId="3076617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C122" w14:textId="4886EB6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47B" w14:textId="7B0287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8EF8" w14:textId="2B13DC6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0FC" w14:textId="33FA9B0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0291" w14:textId="301B40C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1EEF" w14:textId="2091D4B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1BF" w14:textId="159A149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98F" w14:textId="5314FA3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7F74" w14:textId="634B797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706918" w:rsidRPr="00AE73C8" w14:paraId="282E9F2E" w14:textId="77777777" w:rsidTr="003C1BF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8E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0775" w14:textId="66CEDDA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C5EF" w14:textId="291A1DD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1EAC" w14:textId="69F6C61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ADB" w14:textId="3B19970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5EDA" w14:textId="5FC2BB8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53C" w14:textId="4CA0424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CF93" w14:textId="3B1B14F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1DC2" w14:textId="18FF9DD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6FC6" w14:textId="2157531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AB" w14:textId="2E1A86B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A8F" w14:textId="0325892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706918" w:rsidRPr="00AE73C8" w14:paraId="27F51356" w14:textId="77777777" w:rsidTr="003C1BF9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BAC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875A8" w14:textId="4AAF2EF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583" w14:textId="3DAA7A3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039" w14:textId="501ECBA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5EF" w14:textId="48775FF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89C1" w14:textId="26A97D9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6232" w14:textId="4F4300A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CAAB" w14:textId="587D3D3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CED" w14:textId="57A16CE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4058" w14:textId="66DC77B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E69" w14:textId="32E8B8F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D84F" w14:textId="270C1EF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706918" w:rsidRPr="00AE73C8" w14:paraId="2B0F83E9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F38C66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5E342B" w14:textId="250C924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14 331 284,0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042D10" w14:textId="6E54909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14 551 161,8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4197AD" w14:textId="3D3D140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64B205" w14:textId="6B35481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0E526B" w14:textId="761BC9D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7C9C3A" w14:textId="231B002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82303D" w14:textId="5DE23AF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8185D3" w14:textId="4AFD5BF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F7DE8B" w14:textId="74BEEA9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21741A" w14:textId="5B39F84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700227" w14:textId="18BB304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706918" w:rsidRPr="00AE73C8" w14:paraId="11B2C5A5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4C" w14:textId="77777777" w:rsidR="00706918" w:rsidRPr="00FF293C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74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AC1A" w14:textId="66E7104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971" w14:textId="4968E3A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78C0" w14:textId="57F1CE9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B9B" w14:textId="7290342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8237" w14:textId="212E85B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7EED" w14:textId="10CC1ED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292E" w14:textId="01C7C66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B6CE" w14:textId="6813C61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8A9" w14:textId="59A27A2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5D7B" w14:textId="4935244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1977" w14:textId="2D8DE63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706918" w:rsidRPr="00F179D1" w14:paraId="00BAA70E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1580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8B5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437" w14:textId="16BE7AA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A24" w14:textId="2474735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2EB4" w14:textId="2278E70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13F" w14:textId="1343FA5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0045" w14:textId="31E8C78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1D93" w14:textId="4A3B8F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6751" w14:textId="69EA416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833D" w14:textId="5ADCDC8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9BD1" w14:textId="6605BA8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86E7" w14:textId="04D2AF4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2DEC" w14:textId="1427005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1897375F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248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3DAE7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5BEECE" w14:textId="219C156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E51A8F" w14:textId="7BED26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38A73F" w14:textId="53E9A99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74DC11" w14:textId="461B60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2B2E89" w14:textId="23509CE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A5225C" w14:textId="66A13F4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240AD4" w14:textId="5305B1C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C00D9A" w14:textId="1C820C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8D6BBB2" w14:textId="4424FDA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B4613" w14:textId="5A23FA5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EC1966" w14:textId="4410E39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706918" w:rsidRPr="00F179D1" w14:paraId="0FB394AB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EC4" w14:textId="77777777" w:rsidR="00706918" w:rsidRPr="00FF293C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B70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09CE" w14:textId="31487D9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EFE3" w14:textId="45066EA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BF51" w14:textId="22CFFF5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6D4" w14:textId="2083A46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2AC" w14:textId="7547615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380B" w14:textId="4E6EBAA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C362" w14:textId="08FB3D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41B8" w14:textId="2960533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15BF" w14:textId="6F66190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B6C" w14:textId="3ADA575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AC" w14:textId="73E5D52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706918" w:rsidRPr="00F179D1" w14:paraId="2B55C631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1F9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3F3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C0348" w14:textId="65566B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9A53" w14:textId="3F6793E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B52B2" w14:textId="03A1BC7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49E8" w14:textId="6EC7056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1EC" w14:textId="64263B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98C8" w14:textId="29BCA89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0447" w14:textId="459CC9F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F4EE" w14:textId="2AFC5D5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1FD6" w14:textId="2E95F2A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1242" w14:textId="498AC9E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4CAF" w14:textId="191F964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64EBF519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1FDE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5047DE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E1B650" w14:textId="6C70AFE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1BEA69" w14:textId="3A1A37D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FCA5B3" w14:textId="1ADC3E9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6D78B4" w14:textId="0E5A15C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BC5F78" w14:textId="310139F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A73C6A" w14:textId="171ABDE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C55C5E" w14:textId="77F4580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753BEA" w14:textId="73E2E4B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881EF" w14:textId="626CC28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ED8677" w14:textId="016EA51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4C5880" w14:textId="25D6890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706918" w:rsidRPr="00F179D1" w14:paraId="2839C643" w14:textId="77777777" w:rsidTr="00BF7DE6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EAD" w14:textId="77777777" w:rsidR="00706918" w:rsidRPr="00FF293C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096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36E3" w14:textId="0CC0D94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655F" w14:textId="5D5C0B7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F596" w14:textId="2F3028E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2993" w14:textId="659D50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BB15" w14:textId="5F14D66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D477" w14:textId="3D729C9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024" w14:textId="70EE1EE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D908" w14:textId="7A2459C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ED95" w14:textId="5F95542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59B3" w14:textId="7ECA37C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0970" w14:textId="476FBE1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706918" w:rsidRPr="00F179D1" w14:paraId="6F7363E8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23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6A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1F35" w14:textId="2ECBB94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D15" w14:textId="58905BF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687" w14:textId="35251E3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0FDB" w14:textId="6C0638F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A9F" w14:textId="45C4530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A18" w14:textId="17B1A0E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E683" w14:textId="1475F58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077B" w14:textId="0C59772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D5FF" w14:textId="5F3C68E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F6915" w14:textId="2B917B6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357B" w14:textId="458191F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014F6580" w14:textId="77777777" w:rsidTr="00BF7DE6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C46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F9CFF9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0AC556D" w14:textId="0737E03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E562BDD" w14:textId="05A1172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DD7B19" w14:textId="10026BC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868AA" w14:textId="47EE13C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6421E5" w14:textId="137A7D2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50364" w14:textId="5D1F5D2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0FEBD1" w14:textId="1744F51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69EA0" w14:textId="4B7C148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0109A" w14:textId="722B70D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9D1CB" w14:textId="0794584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521729" w14:textId="07BB20A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706918" w:rsidRPr="00AE73C8" w14:paraId="295809FA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9EAA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4BE52" w14:textId="65F1A44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12 251 807,3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961792" w14:textId="02375CE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12 478 091,9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131653" w14:textId="20F3FD7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4C69A2" w14:textId="4B4F4EC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D52E1" w14:textId="3C8E91B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E15235" w14:textId="44782C3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BBE9A" w14:textId="5145DA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6C03D3" w14:textId="7FCC1AC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DB5C04" w14:textId="542BA17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65DF4B" w14:textId="28DDA74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341D62" w14:textId="681144A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706918" w:rsidRPr="00F179D1" w14:paraId="131DC765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956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B6F4" w14:textId="5A67E56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78E4" w14:textId="5ED77AC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C342" w14:textId="0B8D00A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7B58" w14:textId="3B5EC58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393" w14:textId="3DCCDB7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2625" w14:textId="770BE44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F0A" w14:textId="1E42652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760" w14:textId="742F09F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686C" w14:textId="4B9F2F0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C50" w14:textId="34DC5D7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42C" w14:textId="3C9CFBA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706918" w:rsidRPr="00F179D1" w14:paraId="12AA79ED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62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590" w14:textId="04FB497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BA3" w14:textId="373F52B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A24" w14:textId="1356396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D52" w14:textId="6DE54AA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F40" w14:textId="106EF7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59A3" w14:textId="0C22D15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7E76" w14:textId="2EC5117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29D7" w14:textId="593B60B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070F" w14:textId="55FB051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77C9" w14:textId="19FEC8F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960" w14:textId="1ECE7F4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706918" w:rsidRPr="00F179D1" w14:paraId="6623D6AC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9A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BED" w14:textId="5E70EA3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717" w14:textId="2CD5760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57BB" w14:textId="141DB9A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4128" w14:textId="5368A7C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530E" w14:textId="70F8F17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15EB" w14:textId="1953D48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A1A6" w14:textId="400CC30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FDF" w14:textId="44A23BF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ED6F" w14:textId="1EE3E99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A9D8" w14:textId="28863FA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A3D" w14:textId="39F98C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706918" w:rsidRPr="00F179D1" w14:paraId="74DB68FB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D63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2DD5" w14:textId="4144705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162 013,2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0710" w14:textId="7996737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161 886,2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3FA" w14:textId="1BD7E55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EA0" w14:textId="4484DC2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C40B" w14:textId="37FE461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8D66" w14:textId="30D4BC1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4CC2" w14:textId="6C40E4B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BFC" w14:textId="109263C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36C3" w14:textId="5B0B489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A61C" w14:textId="5AEC037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71F" w14:textId="0E11378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706918" w:rsidRPr="00AE73C8" w14:paraId="759F44D3" w14:textId="77777777" w:rsidTr="00BF7DE6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575248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C599D" w14:textId="2B4E0B2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14 205 287,0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06C47B" w14:textId="6C0EBAF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14 431 444,1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ACAAD4" w14:textId="0C27BA3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226281" w14:textId="6B1F04F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29C062" w14:textId="200ECB7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C6616B" w14:textId="72A0ED7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941C6A" w14:textId="22C21E5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12E07C" w14:textId="0C13714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3A9D95" w14:textId="60EDCA6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BC413B" w14:textId="1D7A6C7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1F7382" w14:textId="4596A4D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9873BF3" w14:textId="0D7E1544" w:rsidR="00F179D1" w:rsidRDefault="00F179D1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9028B66" w14:textId="37973C0D" w:rsidR="000F00F8" w:rsidRDefault="000F00F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3FE79783" w14:textId="32AC5FCC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19E3DB78" w14:textId="55675393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2C66A5D2" w14:textId="77777777" w:rsidR="00AE73C8" w:rsidRDefault="00AE73C8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p w14:paraId="5BB46C49" w14:textId="691BA91E" w:rsidR="007628A4" w:rsidRPr="00F179D1" w:rsidRDefault="007628A4" w:rsidP="007628A4">
      <w:pPr>
        <w:spacing w:after="0" w:line="240" w:lineRule="auto"/>
        <w:ind w:right="68"/>
        <w:jc w:val="right"/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lastRenderedPageBreak/>
        <w:t xml:space="preserve">Anexa </w:t>
      </w:r>
      <w:r w:rsidR="008D1237">
        <w:rPr>
          <w:rFonts w:ascii="PermianSerifTypeface" w:hAnsi="PermianSerifTypeface"/>
          <w:b/>
          <w:bCs/>
          <w:i/>
          <w:noProof/>
          <w:sz w:val="24"/>
          <w:szCs w:val="24"/>
          <w:lang w:val="ro-MD"/>
        </w:rPr>
        <w:t>3</w:t>
      </w:r>
    </w:p>
    <w:p w14:paraId="33AB04B6" w14:textId="64757EA3" w:rsidR="007628A4" w:rsidRPr="00F179D1" w:rsidRDefault="007628A4" w:rsidP="007628A4">
      <w:pPr>
        <w:spacing w:after="0" w:line="240" w:lineRule="auto"/>
        <w:ind w:right="68"/>
        <w:jc w:val="center"/>
        <w:rPr>
          <w:rFonts w:ascii="PermianSerifTypeface" w:hAnsi="PermianSerifTypeface"/>
          <w:b/>
          <w:noProof/>
          <w:sz w:val="24"/>
          <w:szCs w:val="24"/>
          <w:lang w:val="ro-MD"/>
        </w:rPr>
      </w:pP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Dinamica principalilor indicatori raportați de </w:t>
      </w:r>
      <w:r w:rsidR="008D1237" w:rsidRPr="008D1237">
        <w:rPr>
          <w:rFonts w:ascii="PermianSerifTypeface" w:hAnsi="PermianSerifTypeface"/>
          <w:b/>
          <w:noProof/>
          <w:sz w:val="24"/>
          <w:szCs w:val="24"/>
          <w:lang w:val="ro-MD"/>
        </w:rPr>
        <w:t>B.C. „UNIBANK” S.A.</w:t>
      </w:r>
      <w:r w:rsidRPr="00F179D1">
        <w:rPr>
          <w:rFonts w:ascii="PermianSerifTypeface" w:hAnsi="PermianSerifTypeface"/>
          <w:b/>
          <w:noProof/>
          <w:sz w:val="24"/>
          <w:szCs w:val="24"/>
          <w:lang w:val="ro-MD"/>
        </w:rPr>
        <w:t xml:space="preserve"> în proces de lichidare, mii lei</w:t>
      </w:r>
    </w:p>
    <w:tbl>
      <w:tblPr>
        <w:tblW w:w="16017" w:type="dxa"/>
        <w:tblLook w:val="04A0" w:firstRow="1" w:lastRow="0" w:firstColumn="1" w:lastColumn="0" w:noHBand="0" w:noVBand="1"/>
      </w:tblPr>
      <w:tblGrid>
        <w:gridCol w:w="2122"/>
        <w:gridCol w:w="142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6918" w:rsidRPr="00AE73C8" w14:paraId="7FB7A678" w14:textId="77777777" w:rsidTr="00697C20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08BF0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B655D84" w14:textId="18A44D06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AC156F0" w14:textId="722BA53C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3101B1" w14:textId="0F6EE8A2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11AA83C" w14:textId="2CDF4FD1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6B4E3D5" w14:textId="0E05CAEA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4953AA5" w14:textId="0F461926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F7A4BA" w14:textId="0F3F8BB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6777D23" w14:textId="13E0AFB3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089470" w14:textId="2DC117EE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13355AC" w14:textId="63BFDE40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A57CF" w14:textId="77777777" w:rsidR="00706918" w:rsidRPr="00F179D1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eastAsia="Times New Roman" w:hAnsi="PermianSerifTypeface" w:cs="Times New Roman"/>
                <w:b/>
                <w:bCs/>
                <w:sz w:val="16"/>
                <w:szCs w:val="16"/>
                <w:lang w:val="ro-MD" w:eastAsia="ro-MD"/>
              </w:rPr>
              <w:t>Sold la data retragerii licenței 16.10.2015</w:t>
            </w:r>
          </w:p>
        </w:tc>
      </w:tr>
      <w:tr w:rsidR="00706918" w:rsidRPr="00AE73C8" w14:paraId="6FD54CAE" w14:textId="77777777" w:rsidTr="00A8770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69D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Numerar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E09F7" w14:textId="696069D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5E8" w14:textId="32C97C7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4291" w14:textId="76B93B9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93FD" w14:textId="3B2F356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62F" w14:textId="1D211A9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C1889" w14:textId="1A051E9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02FC" w14:textId="51727E1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2E66" w14:textId="305CE56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E960" w14:textId="76DA0D4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FE6A" w14:textId="263BC9E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E9A0" w14:textId="483EE0D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706918" w:rsidRPr="00AE73C8" w14:paraId="748EECCD" w14:textId="77777777" w:rsidTr="00A8770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9D5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BNM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96C80" w14:textId="5EBDD22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75" w14:textId="3334DCB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A82A" w14:textId="0E04468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303E" w14:textId="5513628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A453" w14:textId="63B847B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C9E9" w14:textId="2FA4DDF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D9B" w14:textId="62E387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49A" w14:textId="4DC953A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0B39" w14:textId="3F9B3BF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462C" w14:textId="4157FD5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3B" w14:textId="488F11A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1FEAA460" w14:textId="77777777" w:rsidTr="00A8770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D98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de bănci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1F348" w14:textId="679FF76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DA6F" w14:textId="7EE33F1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6E3" w14:textId="6EF7A42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E840" w14:textId="2D6052F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CDC4" w14:textId="635AB00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D569" w14:textId="291F090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E4A0" w14:textId="26A941C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E7" w14:textId="464C738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D85" w14:textId="7DF83FB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2CD7" w14:textId="37B1CC4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3907" w14:textId="0BDFA38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706918" w:rsidRPr="00AE73C8" w14:paraId="09C8FB5F" w14:textId="77777777" w:rsidTr="00A8770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0C2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Mijloace plasate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overnight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F89B3" w14:textId="3AF7075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CD8" w14:textId="31E0F03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8BFB" w14:textId="1D6B570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2395" w14:textId="39F5749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C74B" w14:textId="18878E2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2FA" w14:textId="2365C7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9F0A" w14:textId="12908B3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23E3" w14:textId="4E38AD1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B2D4" w14:textId="6F563B5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3021" w14:textId="5A2EE0C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835E9" w14:textId="0D5AACA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706918" w:rsidRPr="00AE73C8" w14:paraId="058387CF" w14:textId="77777777" w:rsidTr="00A8770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92D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Valori mobiliare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88FFE" w14:textId="5372156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EBCD" w14:textId="5AACB5F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D9DD" w14:textId="2ECE780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A436" w14:textId="41DEE16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9CE9" w14:textId="1E7A363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2B2" w14:textId="517E90E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2E83" w14:textId="7F88EAB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4E5A" w14:textId="42A16CA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8B6" w14:textId="45D264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C0A" w14:textId="336F7C3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1117" w14:textId="5A78F1B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706918" w:rsidRPr="00AE73C8" w14:paraId="7953CBFC" w14:textId="77777777" w:rsidTr="00A87702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B9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Acțiuni și cote de participare disponibile pentru vânzare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947D0" w14:textId="56FDA78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C11D" w14:textId="5C115D9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6B7A" w14:textId="2140E28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D70D" w14:textId="513FC32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DC41" w14:textId="162F05D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5B84" w14:textId="24FFCBF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AFBF" w14:textId="043FB74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F3B" w14:textId="1B676A7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70CA" w14:textId="696B8C1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E4BA" w14:textId="5DE9ADF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A6A" w14:textId="03A912F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706918" w:rsidRPr="00AE73C8" w14:paraId="02771ED7" w14:textId="77777777" w:rsidTr="00706918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DB1" w14:textId="77777777" w:rsidR="00706918" w:rsidRPr="003F6421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Împrumuturi </w:t>
            </w:r>
            <w:proofErr w:type="spellStart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3F6421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avansuri (net)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7E9E" w14:textId="29A7DF8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521 818,0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3989" w14:textId="2837F71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0D8" w14:textId="060F29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7187" w14:textId="0EB85F9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1777" w14:textId="52388F0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1EC1" w14:textId="5ED4EC7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8283" w14:textId="297F9B8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E8D4" w14:textId="1F7E097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F5FD" w14:textId="413D22D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D71C" w14:textId="616F914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BBC" w14:textId="64833A8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706918" w:rsidRPr="00AE73C8" w14:paraId="63682ECC" w14:textId="77777777" w:rsidTr="007307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507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fixe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74CDA" w14:textId="10259A4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39D6" w14:textId="0D9C59D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22" w14:textId="422EF12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BC0" w14:textId="1DE66EE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9BE5" w14:textId="2C38CEC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5D2E" w14:textId="1A60CF9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A85E" w14:textId="0F08383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0554" w14:textId="4961221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1F8F" w14:textId="2E66C31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AC0E" w14:textId="3756722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7FB5" w14:textId="2BE3F24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706918" w:rsidRPr="00AE73C8" w14:paraId="2A4519D5" w14:textId="77777777" w:rsidTr="007307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4577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Imobilizări necorporale și debitori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DBBA6" w14:textId="0A65987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ABD7" w14:textId="7695AD7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D76" w14:textId="672DAC7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9024" w14:textId="5E3D33A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785D" w14:textId="6CF38E3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65F8" w14:textId="56A4D50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14C" w14:textId="0C8DA57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5129" w14:textId="3112A9D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4F7C" w14:textId="340A797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2DBA" w14:textId="10E3AF3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FEB4" w14:textId="3E40352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706918" w:rsidRPr="00AE73C8" w14:paraId="20397E3C" w14:textId="77777777" w:rsidTr="007307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D12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Creanțe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E3A52" w14:textId="09C4AB2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360" w14:textId="58E7453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5FD1" w14:textId="3B5762D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BBE1" w14:textId="2276ADD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064" w14:textId="3DF8CB2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9B60" w14:textId="0C9594A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CB1" w14:textId="617447B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B2B2" w14:textId="44F1410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BD3" w14:textId="76579C4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3A3A" w14:textId="1A14271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B555" w14:textId="159822A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706918" w:rsidRPr="00AE73C8" w14:paraId="4FA1C8D8" w14:textId="77777777" w:rsidTr="007307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D1E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Dobânda calculată </w:t>
            </w:r>
            <w:proofErr w:type="spellStart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şi</w:t>
            </w:r>
            <w:proofErr w:type="spellEnd"/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 xml:space="preserve"> alte venituri ce urmează să fie primite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8C003" w14:textId="122D682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244F" w14:textId="7301EAE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AFDB" w14:textId="2B9E4D8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781" w14:textId="73102BB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9566" w14:textId="4E6B2F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6A55" w14:textId="00F9F34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1786" w14:textId="0FF78D1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1E95" w14:textId="26EB929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F17" w14:textId="36630F1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73F4" w14:textId="1146ED5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0F04" w14:textId="6FAA276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706918" w:rsidRPr="00AE73C8" w14:paraId="4ECD2A67" w14:textId="77777777" w:rsidTr="007307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B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Active transmise în posesiune/ achiziționate pentru vânzare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42DBA" w14:textId="690AF3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3361" w14:textId="64239CC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DEEB" w14:textId="4542115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8634" w14:textId="129F7C3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78DE" w14:textId="0B6DF6E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BFC7" w14:textId="14A574A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B1F" w14:textId="2A78ECC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4854" w14:textId="7C1F89E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B713" w14:textId="60F9F19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37C8" w14:textId="6FB691D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D25D" w14:textId="58DFF2D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06918" w:rsidRPr="00AE73C8" w14:paraId="1897E4C0" w14:textId="77777777" w:rsidTr="007307DF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B8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active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6B421" w14:textId="4A069AD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4542" w14:textId="7A6FC02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C4B4" w14:textId="2C2BE7B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B0E" w14:textId="2B655D6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64BC" w14:textId="6ABC1C6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424F" w14:textId="4D9B07F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B82" w14:textId="4F8D796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020" w14:textId="01783D9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5E2" w14:textId="7CE082E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52CE" w14:textId="4C0AD41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690E" w14:textId="435445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706918" w:rsidRPr="00AE73C8" w14:paraId="1685EB86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2F691A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active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DFCBA2" w14:textId="5676C18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531 086,5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93E0BE" w14:textId="24EB561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544 237,7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219929" w14:textId="7351DE4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FDA651" w14:textId="26CA5A8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E244E6" w14:textId="3BFF16F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79EC5D" w14:textId="44204D6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6DB08F" w14:textId="2647570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1B32B2" w14:textId="19E311E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49AD9" w14:textId="373344C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655BEA" w14:textId="44E363E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83D4C3" w14:textId="5EA9D6A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706918" w:rsidRPr="00AE73C8" w14:paraId="2FBDF474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D61" w14:textId="77777777" w:rsidR="00706918" w:rsidRPr="00FF293C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fizice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A779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A080" w14:textId="36C7239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3CA5" w14:textId="10AC93F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6061" w14:textId="47B57B9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4C4B" w14:textId="185247C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B809" w14:textId="2798C94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DC20" w14:textId="2B6D974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B3EE" w14:textId="265188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987D" w14:textId="20F77D8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C3E1" w14:textId="51964BE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9216" w14:textId="0DE9A8F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FDD" w14:textId="1599A94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706918" w:rsidRPr="00F179D1" w14:paraId="40CE967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C096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80B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67C3" w14:textId="5802F3D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6E8B" w14:textId="0451C4E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A802" w14:textId="4FFC333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2293" w14:textId="1946195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570B" w14:textId="31467C8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FB5D" w14:textId="782394F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0BBA" w14:textId="0817A13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E2D2" w14:textId="0D90F68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5CB1" w14:textId="0D4E655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DA4D" w14:textId="1391D12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9A4E" w14:textId="415983E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706918" w:rsidRPr="00AE73C8" w14:paraId="0CFFB9A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EA0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BF74D4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F1C7A6" w14:textId="5C12BC1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8514F5" w14:textId="55C7555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1B2D4" w14:textId="5B20C16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62EDA" w14:textId="12A8FA2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30581C" w14:textId="7792045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B0E7C3" w14:textId="37BE14D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B80985" w14:textId="12333B3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651F987" w14:textId="5273EAD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E6B16" w14:textId="44056B5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F09EE" w14:textId="1EF2A5C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ECA842" w14:textId="227923C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706918" w:rsidRPr="00F179D1" w14:paraId="3788720E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098C" w14:textId="77777777" w:rsidR="00706918" w:rsidRPr="00FF293C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Depozite ale persoanelor juridice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FD6" w14:textId="5DCF2C6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9B8D" w14:textId="6FE6FBC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3CA6" w14:textId="0B54E58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90A3" w14:textId="52F5E10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7915" w14:textId="3DC6AED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F97E" w14:textId="0A2E847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089B" w14:textId="359D781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CDC5" w14:textId="7514EB8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BF87" w14:textId="3E9CD72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8A64" w14:textId="21F72B6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EAFB" w14:textId="4D55377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706918" w:rsidRPr="00F179D1" w14:paraId="2F44541E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8E2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8C2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25DC" w14:textId="2249747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4948" w14:textId="77052BA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1942" w14:textId="1C698C2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EB77" w14:textId="183180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230D" w14:textId="3E1285F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7612" w14:textId="67AA700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444" w14:textId="1099B7A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B4C5" w14:textId="74286BF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A8A7" w14:textId="4DC205A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0CA0" w14:textId="27605A8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16A3" w14:textId="1FE2086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706918" w:rsidRPr="00AE73C8" w14:paraId="691DFCA6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C1C3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253EE4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EA7DC8" w14:textId="367E762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E82A09" w14:textId="2C870F4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A186F0" w14:textId="54620C9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C2A610" w14:textId="5089784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699DD7" w14:textId="44D85F4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D8F57B" w14:textId="3BCC5A6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4E4840" w14:textId="29B4BD9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368D8C" w14:textId="15DA2F1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E12CF1" w14:textId="6E4D21A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8607C6" w14:textId="2011DD0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E4F1D4" w14:textId="0A2FC2F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706918" w:rsidRPr="00F179D1" w14:paraId="6425CE65" w14:textId="77777777" w:rsidTr="008727C4">
        <w:trPr>
          <w:trHeight w:val="22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3B5" w14:textId="77777777" w:rsidR="00706918" w:rsidRPr="00FF293C" w:rsidRDefault="00706918" w:rsidP="00706918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Mijloace bănești datorate băncilor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13B5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fără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CF23" w14:textId="68589CF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3706" w14:textId="2A8AD0F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BBB2" w14:textId="2A7FDC7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5F53" w14:textId="06398C5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CDD2" w14:textId="68C88CB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9C86" w14:textId="70CA1B8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931A" w14:textId="148F9B0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ECB" w14:textId="643A6AC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1D20" w14:textId="301F1FF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2421" w14:textId="351A587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EC1" w14:textId="45DC313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706918" w:rsidRPr="00F179D1" w14:paraId="7F973C9A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FF2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05ED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cu dobândă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4C16" w14:textId="4EC0B23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AC8D" w14:textId="51827BF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7EC8" w14:textId="15D9A5B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52A" w14:textId="59B73D2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32D" w14:textId="65B24C5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53CC" w14:textId="0428C9B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99C5" w14:textId="2BCFD00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DA2E" w14:textId="5E6C156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8B8" w14:textId="737EC69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74CC" w14:textId="61969B4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9AAA" w14:textId="7E0107D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706918" w:rsidRPr="00AE73C8" w14:paraId="2EB34735" w14:textId="77777777" w:rsidTr="008727C4">
        <w:trPr>
          <w:trHeight w:val="22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FC5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218445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DC46FF" w14:textId="69D0B53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9C8F43" w14:textId="06C4A31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130C319" w14:textId="40B1BEB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B9740B" w14:textId="7DED402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A59B4C" w14:textId="11C2E65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436929" w14:textId="7D0A9CA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26065C" w14:textId="1B28636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EE7AB" w14:textId="777910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9A427E" w14:textId="7A6982B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5BE87" w14:textId="3CC85EC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9B2A51" w14:textId="7B50330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706918" w:rsidRPr="00AE73C8" w14:paraId="27769727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F97BE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depozite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2D258D" w14:textId="40744F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06374F" w14:textId="4923EB6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84CE89" w14:textId="020B0E9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F4026A" w14:textId="7D3C4CF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0D492B" w14:textId="0D62695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CB3FE" w14:textId="137020E0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51CD30" w14:textId="4FA9E4E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396538" w14:textId="43C030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ECEF12" w14:textId="3F1A97E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9C5FF1" w14:textId="7A43540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196CFA" w14:textId="20E4479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706918" w:rsidRPr="00AE73C8" w14:paraId="6A16129B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6EF7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Dobânda calculată ce urmează a fi plătită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B42" w14:textId="03FCB2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DF49" w14:textId="10472DB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EB54" w14:textId="15B241B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05E" w14:textId="728EE63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85" w14:textId="6F22875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2F3F" w14:textId="1AAE4F9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5230" w14:textId="2C306F5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E29" w14:textId="592BE6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C2C0" w14:textId="04252FD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2103" w14:textId="21A9A1B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ABA" w14:textId="6199F26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706918" w:rsidRPr="00AE73C8" w14:paraId="7177912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79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împrumuturi (net)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3D81" w14:textId="03AD324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9B0" w14:textId="266DECD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4707" w14:textId="6223A5EE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F6" w14:textId="0CA193A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C2C8" w14:textId="2DAA08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3D35" w14:textId="6F0C050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1031" w14:textId="3B2A903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DE6" w14:textId="6AEBC61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08B8" w14:textId="721AD24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C1B" w14:textId="0A01753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B9AA" w14:textId="763A07E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706918" w:rsidRPr="00AE73C8" w14:paraId="5C735ACD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884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Datorii privind impozitele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98A" w14:textId="74FA71D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25B5" w14:textId="46EEC53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AAD" w14:textId="51107CC3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91FC" w14:textId="008F1E02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0CC" w14:textId="0D7EEC0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9A31" w14:textId="5932607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199A" w14:textId="7CABFEA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ED94" w14:textId="6D56069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F4B" w14:textId="1848B83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29A3" w14:textId="38D0B1B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2071" w14:textId="0061B79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706918" w:rsidRPr="00AE73C8" w14:paraId="758731F3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CD0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color w:val="000000"/>
                <w:sz w:val="16"/>
                <w:szCs w:val="16"/>
                <w:lang w:val="ro-MD" w:eastAsia="ro-MD"/>
              </w:rPr>
              <w:t>Alte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872" w14:textId="393F4E4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81F0" w14:textId="4CAA5FC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8378" w14:textId="3F29C77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5DAC" w14:textId="40D5D61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6979" w14:textId="66839449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2690" w14:textId="60DCA37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59D3" w14:textId="0B78CCA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2A0" w14:textId="344EE447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5F32" w14:textId="51983C9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F0BB" w14:textId="5858C9D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2187" w14:textId="389D3C2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706918" w:rsidRPr="00AE73C8" w14:paraId="0F75D279" w14:textId="77777777" w:rsidTr="008727C4">
        <w:trPr>
          <w:trHeight w:val="22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94257F" w14:textId="77777777" w:rsidR="00706918" w:rsidRPr="00FF293C" w:rsidRDefault="00706918" w:rsidP="0070691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6"/>
                <w:szCs w:val="16"/>
                <w:lang w:val="ro-MD" w:eastAsia="ro-MD"/>
              </w:rPr>
              <w:t>Total datorii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6F5A77" w14:textId="614503CB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EE858F" w14:textId="2FAF5ACA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6A261" w14:textId="753ABB44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103E93" w14:textId="692F0F4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3D775A" w14:textId="4D69B5BD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188B8B" w14:textId="6B6DEE2C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AE10C9" w14:textId="7356F801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C6DF31" w14:textId="6A753F76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6D0B20" w14:textId="2F1090DF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50D0E6" w14:textId="29929048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6ACE37" w14:textId="17B66505" w:rsidR="00706918" w:rsidRPr="00706918" w:rsidRDefault="00706918" w:rsidP="00706918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70F8CBD" w14:textId="2A972FD7" w:rsidR="007628A4" w:rsidRDefault="007628A4" w:rsidP="00F179D1">
      <w:pPr>
        <w:spacing w:after="0" w:line="240" w:lineRule="auto"/>
        <w:ind w:right="68"/>
        <w:rPr>
          <w:rFonts w:ascii="PermianSerifTypeface" w:hAnsi="PermianSerifTypeface"/>
          <w:iCs/>
          <w:sz w:val="24"/>
          <w:szCs w:val="24"/>
          <w:lang w:val="ro-RO"/>
        </w:rPr>
      </w:pPr>
    </w:p>
    <w:sectPr w:rsidR="007628A4" w:rsidSect="00F17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4DE" w14:textId="77777777" w:rsidR="00C47888" w:rsidRDefault="00C47888" w:rsidP="004D3BD5">
      <w:pPr>
        <w:spacing w:after="0" w:line="240" w:lineRule="auto"/>
      </w:pPr>
      <w:r>
        <w:separator/>
      </w:r>
    </w:p>
  </w:endnote>
  <w:endnote w:type="continuationSeparator" w:id="0">
    <w:p w14:paraId="1E7D85D5" w14:textId="77777777" w:rsidR="00C47888" w:rsidRDefault="00C47888" w:rsidP="004D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AE3" w14:textId="267CE4D5" w:rsidR="00C47888" w:rsidRDefault="00C47888" w:rsidP="004D3BD5">
    <w:pPr>
      <w:pStyle w:val="Footer"/>
    </w:pPr>
    <w:bookmarkStart w:id="4" w:name="TITUS1FooterEvenPages"/>
    <w:r w:rsidRPr="004D3BD5">
      <w:rPr>
        <w:color w:val="000000"/>
        <w:sz w:val="2"/>
      </w:rPr>
      <w:t> 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96A6" w14:textId="1302614A" w:rsidR="00C47888" w:rsidRDefault="00C47888" w:rsidP="004D3BD5">
    <w:pPr>
      <w:pStyle w:val="Footer"/>
    </w:pPr>
    <w:bookmarkStart w:id="5" w:name="TITUS1FooterPrimary"/>
    <w:r w:rsidRPr="004D3BD5">
      <w:rPr>
        <w:color w:val="000000"/>
        <w:sz w:val="2"/>
      </w:rPr>
      <w:t> 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82" w14:textId="77777777" w:rsidR="00C47888" w:rsidRDefault="00C4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D65A" w14:textId="77777777" w:rsidR="00C47888" w:rsidRDefault="00C47888" w:rsidP="004D3BD5">
      <w:pPr>
        <w:spacing w:after="0" w:line="240" w:lineRule="auto"/>
      </w:pPr>
      <w:r>
        <w:separator/>
      </w:r>
    </w:p>
  </w:footnote>
  <w:footnote w:type="continuationSeparator" w:id="0">
    <w:p w14:paraId="075AECAD" w14:textId="77777777" w:rsidR="00C47888" w:rsidRDefault="00C47888" w:rsidP="004D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4B29" w14:textId="7BB18486" w:rsidR="00C47888" w:rsidRDefault="00C47888" w:rsidP="004D3BD5">
    <w:pPr>
      <w:pStyle w:val="Header"/>
    </w:pPr>
    <w:bookmarkStart w:id="2" w:name="TITUS1HeaderEvenPages"/>
    <w:r w:rsidRPr="004D3BD5">
      <w:rPr>
        <w:color w:val="000000"/>
        <w:sz w:val="2"/>
      </w:rPr>
      <w:t> 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A28" w14:textId="76868C01" w:rsidR="00C47888" w:rsidRDefault="00C47888" w:rsidP="004D3BD5">
    <w:pPr>
      <w:pStyle w:val="Header"/>
    </w:pPr>
    <w:bookmarkStart w:id="3" w:name="TITUS1HeaderPrimary"/>
    <w:r w:rsidRPr="004D3BD5">
      <w:rPr>
        <w:color w:val="000000"/>
        <w:sz w:val="2"/>
      </w:rPr>
      <w:t> 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F754" w14:textId="77777777" w:rsidR="00C47888" w:rsidRDefault="00C47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75A"/>
    <w:multiLevelType w:val="hybridMultilevel"/>
    <w:tmpl w:val="6600A15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6A83FC6"/>
    <w:multiLevelType w:val="hybridMultilevel"/>
    <w:tmpl w:val="B0182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D"/>
    <w:rsid w:val="00031EBD"/>
    <w:rsid w:val="00034FDA"/>
    <w:rsid w:val="000C008D"/>
    <w:rsid w:val="000C7EC6"/>
    <w:rsid w:val="000F00F8"/>
    <w:rsid w:val="0010663C"/>
    <w:rsid w:val="00263BD4"/>
    <w:rsid w:val="00290A0B"/>
    <w:rsid w:val="003009DA"/>
    <w:rsid w:val="00333D80"/>
    <w:rsid w:val="00355102"/>
    <w:rsid w:val="00375F58"/>
    <w:rsid w:val="003B6870"/>
    <w:rsid w:val="003B7B00"/>
    <w:rsid w:val="003F6421"/>
    <w:rsid w:val="00402296"/>
    <w:rsid w:val="0042140C"/>
    <w:rsid w:val="0045688A"/>
    <w:rsid w:val="004677C6"/>
    <w:rsid w:val="004D3BD5"/>
    <w:rsid w:val="00515A8F"/>
    <w:rsid w:val="005172B9"/>
    <w:rsid w:val="005512B6"/>
    <w:rsid w:val="00552886"/>
    <w:rsid w:val="0061366B"/>
    <w:rsid w:val="006D0157"/>
    <w:rsid w:val="006E4EEA"/>
    <w:rsid w:val="006F425D"/>
    <w:rsid w:val="00706918"/>
    <w:rsid w:val="007562B4"/>
    <w:rsid w:val="007628A4"/>
    <w:rsid w:val="00822B99"/>
    <w:rsid w:val="008450C4"/>
    <w:rsid w:val="008727C4"/>
    <w:rsid w:val="008D1237"/>
    <w:rsid w:val="009A56FC"/>
    <w:rsid w:val="00A15038"/>
    <w:rsid w:val="00A96D67"/>
    <w:rsid w:val="00AE1E80"/>
    <w:rsid w:val="00AE73C8"/>
    <w:rsid w:val="00B25C6F"/>
    <w:rsid w:val="00BF7DE6"/>
    <w:rsid w:val="00C47888"/>
    <w:rsid w:val="00CD171C"/>
    <w:rsid w:val="00D442FD"/>
    <w:rsid w:val="00E4337A"/>
    <w:rsid w:val="00E70F5E"/>
    <w:rsid w:val="00E97007"/>
    <w:rsid w:val="00EA70F7"/>
    <w:rsid w:val="00EE62A2"/>
    <w:rsid w:val="00F14572"/>
    <w:rsid w:val="00F179D1"/>
    <w:rsid w:val="00F35E45"/>
    <w:rsid w:val="00FB4B8F"/>
    <w:rsid w:val="00FC2CF0"/>
    <w:rsid w:val="00FC41FC"/>
    <w:rsid w:val="00FC43F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64F8"/>
  <w15:chartTrackingRefBased/>
  <w15:docId w15:val="{7A4D6488-9BF5-4E3C-B251-4C1CBF69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D5"/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4D3B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3BD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4D3B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3BD5"/>
    <w:rPr>
      <w:lang w:val="en-US"/>
    </w:rPr>
  </w:style>
  <w:style w:type="paragraph" w:styleId="Footer">
    <w:name w:val="footer"/>
    <w:basedOn w:val="Normal"/>
    <w:link w:val="FooterChar"/>
    <w:unhideWhenUsed/>
    <w:rsid w:val="004D3B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D3BD5"/>
    <w:rPr>
      <w:lang w:val="en-US"/>
    </w:rPr>
  </w:style>
  <w:style w:type="table" w:styleId="ListTable4-Accent3">
    <w:name w:val="List Table 4 Accent 3"/>
    <w:basedOn w:val="TableNormal"/>
    <w:uiPriority w:val="49"/>
    <w:rsid w:val="004D3BD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nhideWhenUsed/>
    <w:rsid w:val="004D3B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nhideWhenUsed/>
    <w:rsid w:val="004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3BD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nhideWhenUsed/>
    <w:rsid w:val="004D3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3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3BD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3BD5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D3BD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3B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D3BD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4D3BD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o-MD"/>
    </w:rPr>
  </w:style>
  <w:style w:type="character" w:customStyle="1" w:styleId="BodyText2Char">
    <w:name w:val="Body Text 2 Char"/>
    <w:basedOn w:val="DefaultParagraphFont"/>
    <w:link w:val="BodyText2"/>
    <w:rsid w:val="004D3BD5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4D3BD5"/>
  </w:style>
  <w:style w:type="paragraph" w:styleId="NormalWeb">
    <w:name w:val="Normal (Web)"/>
    <w:basedOn w:val="Normal"/>
    <w:uiPriority w:val="99"/>
    <w:rsid w:val="004D3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4D3BD5"/>
    <w:rPr>
      <w:b/>
      <w:bCs/>
      <w:smallCaps/>
      <w:spacing w:val="5"/>
    </w:rPr>
  </w:style>
  <w:style w:type="paragraph" w:customStyle="1" w:styleId="1">
    <w:name w:val="Абзац списка1"/>
    <w:basedOn w:val="Normal"/>
    <w:rsid w:val="004D3B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5A31-0C82-4F16-A429-FD64032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1625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2022-09-09T08:18:00Z</dcterms:created>
  <dcterms:modified xsi:type="dcterms:W3CDTF">2025-08-21T11:15:00Z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da48e2c6-9b05-4b6e-8b7b-e117df5fd86d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